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35DB2486" w14:textId="308CF544" w:rsidR="00A763FB" w:rsidRDefault="00686E0D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Zdravá</w:t>
      </w:r>
      <w:r w:rsidR="00A763F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polévka s Olomouckými tvarůžky: Zahřejte se v zimě poctivou cibulačkou</w:t>
      </w:r>
    </w:p>
    <w:p w14:paraId="7444E702" w14:textId="77777777" w:rsidR="006C1BC9" w:rsidRPr="00797B09" w:rsidRDefault="006C1BC9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42EA776" w14:textId="69B593EB" w:rsidR="00686E0D" w:rsidRDefault="00166F8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737724">
        <w:rPr>
          <w:rFonts w:ascii="Arial" w:hAnsi="Arial" w:cs="Arial"/>
          <w:sz w:val="22"/>
          <w:szCs w:val="22"/>
        </w:rPr>
        <w:t>2</w:t>
      </w:r>
      <w:r w:rsidR="00680754">
        <w:rPr>
          <w:rFonts w:ascii="Arial" w:hAnsi="Arial" w:cs="Arial"/>
          <w:sz w:val="22"/>
          <w:szCs w:val="22"/>
        </w:rPr>
        <w:t>8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EB1BC0" w:rsidRPr="00737724">
        <w:rPr>
          <w:rFonts w:ascii="Arial" w:hAnsi="Arial" w:cs="Arial"/>
          <w:sz w:val="22"/>
          <w:szCs w:val="22"/>
        </w:rPr>
        <w:t>ledna</w:t>
      </w:r>
      <w:r w:rsidRPr="007377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7724">
        <w:rPr>
          <w:rFonts w:ascii="Arial" w:hAnsi="Arial" w:cs="Arial"/>
          <w:sz w:val="22"/>
          <w:szCs w:val="22"/>
        </w:rPr>
        <w:t>202</w:t>
      </w:r>
      <w:r w:rsidR="00265C3E">
        <w:rPr>
          <w:rFonts w:ascii="Arial" w:hAnsi="Arial" w:cs="Arial"/>
          <w:sz w:val="22"/>
          <w:szCs w:val="22"/>
        </w:rPr>
        <w:t>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686E0D">
        <w:rPr>
          <w:rFonts w:ascii="Arial" w:hAnsi="Arial" w:cs="Arial"/>
          <w:b/>
          <w:bCs/>
          <w:sz w:val="22"/>
          <w:szCs w:val="22"/>
        </w:rPr>
        <w:t>V</w:t>
      </w:r>
      <w:proofErr w:type="gramEnd"/>
      <w:r w:rsidR="00686E0D">
        <w:rPr>
          <w:rFonts w:ascii="Arial" w:hAnsi="Arial" w:cs="Arial"/>
          <w:b/>
          <w:bCs/>
          <w:sz w:val="22"/>
          <w:szCs w:val="22"/>
        </w:rPr>
        <w:t> zimních měsících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 xml:space="preserve"> není nic lepšího než </w:t>
      </w:r>
      <w:r w:rsidR="00C170EB">
        <w:rPr>
          <w:rFonts w:ascii="Arial" w:hAnsi="Arial" w:cs="Arial"/>
          <w:b/>
          <w:bCs/>
          <w:sz w:val="22"/>
          <w:szCs w:val="22"/>
        </w:rPr>
        <w:t>tradiční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 xml:space="preserve"> domácí polévka. A co takhle spojit osvědčenou klasiku, cibulačku, s jedinečnou chutí Olomouckých tvarůžků? Zahřej</w:t>
      </w:r>
      <w:r w:rsidR="00686E0D">
        <w:rPr>
          <w:rFonts w:ascii="Arial" w:hAnsi="Arial" w:cs="Arial"/>
          <w:b/>
          <w:bCs/>
          <w:sz w:val="22"/>
          <w:szCs w:val="22"/>
        </w:rPr>
        <w:t>ete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 xml:space="preserve"> se a dopřej</w:t>
      </w:r>
      <w:r w:rsidR="00686E0D">
        <w:rPr>
          <w:rFonts w:ascii="Arial" w:hAnsi="Arial" w:cs="Arial"/>
          <w:b/>
          <w:bCs/>
          <w:sz w:val="22"/>
          <w:szCs w:val="22"/>
        </w:rPr>
        <w:t>e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 xml:space="preserve">te svému tělu vydatnou porci </w:t>
      </w:r>
      <w:r w:rsidR="00686E0D">
        <w:rPr>
          <w:rFonts w:ascii="Arial" w:hAnsi="Arial" w:cs="Arial"/>
          <w:b/>
          <w:bCs/>
          <w:sz w:val="22"/>
          <w:szCs w:val="22"/>
        </w:rPr>
        <w:t xml:space="preserve">potřebných 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>živin</w:t>
      </w:r>
      <w:r w:rsidR="00686E0D">
        <w:rPr>
          <w:rFonts w:ascii="Arial" w:hAnsi="Arial" w:cs="Arial"/>
          <w:b/>
          <w:bCs/>
          <w:sz w:val="22"/>
          <w:szCs w:val="22"/>
        </w:rPr>
        <w:t>.</w:t>
      </w:r>
      <w:r w:rsidR="00686E0D" w:rsidRPr="00686E0D">
        <w:t xml:space="preserve"> </w:t>
      </w:r>
      <w:r w:rsidR="00686E0D" w:rsidRPr="00686E0D">
        <w:rPr>
          <w:rFonts w:ascii="Arial" w:hAnsi="Arial" w:cs="Arial"/>
          <w:b/>
          <w:bCs/>
          <w:sz w:val="22"/>
          <w:szCs w:val="22"/>
        </w:rPr>
        <w:t>Poctivá cibulačka potěší chuťové pohárky a podpoří imunitu.</w:t>
      </w:r>
    </w:p>
    <w:p w14:paraId="7E982CBA" w14:textId="77777777" w:rsidR="00686E0D" w:rsidRDefault="00686E0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8EB460" w14:textId="543D2725" w:rsidR="006C1BC9" w:rsidRPr="00737724" w:rsidRDefault="006C1BC9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Proč zařadit polévky do zimního jídelníčku? Kromě prohřátí organismu podporují hydrataci, obsahují důležité živiny a jsou lehce stravitelné. Díky Olomouckým tvarůžkům získá cibulačka výraz</w:t>
      </w:r>
      <w:r w:rsidR="001F5E85"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nou chuť a skvělé</w:t>
      </w:r>
      <w:r w:rsidR="009A1956"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nutriční hodnoty, které z ní dělají ideální volbu</w:t>
      </w:r>
      <w:r w:rsidR="001F5E85"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pro zdravé stravování</w:t>
      </w:r>
      <w:r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482723E2" w14:textId="77777777" w:rsidR="00A763FB" w:rsidRDefault="00A763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CA48853" w14:textId="14A9616B" w:rsidR="00686E0D" w:rsidRPr="00686E0D" w:rsidRDefault="00686E0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686E0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Tradiční chuť s moderním přístupem </w:t>
      </w:r>
    </w:p>
    <w:p w14:paraId="14C4EFA1" w14:textId="3A24C4B2" w:rsidR="00A763FB" w:rsidRPr="00737724" w:rsidRDefault="00A763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„Cibulačka s Olomouckými tvarůžky je nejen skvělým tipem na zimní zahřátí, ale také dokladem toho, že tradiční české suroviny mohou být základem moderní a zdravé kuchyně</w:t>
      </w:r>
      <w:r w:rsidR="00C170EB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.</w:t>
      </w:r>
      <w:r w:rsidR="00686E0D" w:rsidRPr="00686E0D">
        <w:t xml:space="preserve"> </w:t>
      </w:r>
      <w:r w:rsidR="00686E0D" w:rsidRPr="00686E0D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Polévka, která kombinuje lokální suroviny a vyvážené nutriční hodnoty, je k této příležitosti jako dělaná</w:t>
      </w:r>
      <w:r w:rsidRPr="00737724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uvedl </w:t>
      </w:r>
      <w:r w:rsidRPr="0073772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tvarůžky.</w:t>
      </w:r>
    </w:p>
    <w:p w14:paraId="7B76BF5D" w14:textId="77777777" w:rsidR="006C1BC9" w:rsidRPr="00737724" w:rsidRDefault="006C1BC9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42E7A69" w14:textId="20E1E20A" w:rsidR="006C1BC9" w:rsidRPr="00737724" w:rsidRDefault="00A763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Pro ty, kteří dbají na</w:t>
      </w:r>
      <w:r w:rsidR="007408D3"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štíhlou</w:t>
      </w:r>
      <w:r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linii, může být cibulačka s tvarůžky vítanou alternativou. Obsahuje málo tuku, ale přitom dodá tělu potřebné bílkoviny a energii. </w:t>
      </w:r>
      <w:r w:rsidR="006C1BC9" w:rsidRPr="0073772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Připravit tuto lahodnou polévku zvládne každý. Stačí hovězí vývar, čerstvá cibule, krajíce chleba a samozřejmě Olomoucké tvarůžky. Krátké zapečení v troubě zajistí dokonalé spojení chutí.</w:t>
      </w:r>
    </w:p>
    <w:p w14:paraId="55BAB977" w14:textId="77777777" w:rsidR="006C1BC9" w:rsidRPr="00737724" w:rsidRDefault="006C1BC9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023F7EF" w14:textId="377F6AA2" w:rsidR="00EB1BC0" w:rsidRPr="00737724" w:rsidRDefault="00A763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Cibulačka</w:t>
      </w:r>
      <w:r w:rsidRPr="0073772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s Olomouckými tvarůžky</w:t>
      </w:r>
    </w:p>
    <w:p w14:paraId="5A5FEEB3" w14:textId="21C16F52" w:rsidR="00EB1BC0" w:rsidRPr="00737724" w:rsidRDefault="006C1BC9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1,5 l hovězího vývaru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737724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300–400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g Olomouckých tvarůžků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4 cibule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737724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4–5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krajíců chleba</w:t>
      </w:r>
      <w:r w:rsidR="00686E0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A763FB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ádlo</w:t>
      </w:r>
      <w:r w:rsidR="00A763FB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, sůl, pepř</w:t>
      </w:r>
    </w:p>
    <w:p w14:paraId="4FD26093" w14:textId="77777777" w:rsidR="006C1BC9" w:rsidRPr="00737724" w:rsidRDefault="006C1BC9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4EC2D1E" w14:textId="30809D8B" w:rsidR="00A82AB2" w:rsidRPr="00737724" w:rsidRDefault="00A763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37724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EB1BC0" w:rsidRPr="0073772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 sádle opečeme na silnější kolečka pokrájenou cibuli, zalijeme vývarem a chvíli povaříme, aby změkla. Polévku opepříme, případně podle chuti ještě dosolíme. Do ohnivzdorných misek rozdělíme porce chleba, který jsme nakrájeli na kostičky a osmažili na sádle. Posypeme ho na malé kousky nakrájenými tvarůžky, zalijeme polévkou, a to všechno v předehřáté troubě prudce zapečeme.</w:t>
      </w:r>
    </w:p>
    <w:p w14:paraId="5128B77C" w14:textId="77777777" w:rsidR="00A763FB" w:rsidRDefault="00A763FB" w:rsidP="00EB1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F867" w14:textId="77777777" w:rsidR="00AC3CC8" w:rsidRDefault="00AC3CC8">
      <w:r>
        <w:separator/>
      </w:r>
    </w:p>
  </w:endnote>
  <w:endnote w:type="continuationSeparator" w:id="0">
    <w:p w14:paraId="24DC9A7C" w14:textId="77777777" w:rsidR="00AC3CC8" w:rsidRDefault="00AC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95FD" w14:textId="77777777" w:rsidR="00AC3CC8" w:rsidRDefault="00AC3CC8">
      <w:r>
        <w:separator/>
      </w:r>
    </w:p>
  </w:footnote>
  <w:footnote w:type="continuationSeparator" w:id="0">
    <w:p w14:paraId="2D59BB25" w14:textId="77777777" w:rsidR="00AC3CC8" w:rsidRDefault="00AC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8440">
    <w:abstractNumId w:val="3"/>
  </w:num>
  <w:num w:numId="2" w16cid:durableId="2036416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06002">
    <w:abstractNumId w:val="9"/>
  </w:num>
  <w:num w:numId="4" w16cid:durableId="975912438">
    <w:abstractNumId w:val="4"/>
  </w:num>
  <w:num w:numId="5" w16cid:durableId="1198549476">
    <w:abstractNumId w:val="10"/>
  </w:num>
  <w:num w:numId="6" w16cid:durableId="703022349">
    <w:abstractNumId w:val="8"/>
  </w:num>
  <w:num w:numId="7" w16cid:durableId="495724901">
    <w:abstractNumId w:val="0"/>
  </w:num>
  <w:num w:numId="8" w16cid:durableId="905914679">
    <w:abstractNumId w:val="2"/>
  </w:num>
  <w:num w:numId="9" w16cid:durableId="1580170610">
    <w:abstractNumId w:val="6"/>
  </w:num>
  <w:num w:numId="10" w16cid:durableId="980378506">
    <w:abstractNumId w:val="7"/>
  </w:num>
  <w:num w:numId="11" w16cid:durableId="158329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5F44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5C3E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0754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498D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3CC8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650A9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2503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40237057-12AB-4D6D-8B4F-17B7CFCA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69D0-6CD7-471F-979B-54C0D071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8</cp:revision>
  <cp:lastPrinted>2022-10-26T09:21:00Z</cp:lastPrinted>
  <dcterms:created xsi:type="dcterms:W3CDTF">2025-01-21T16:20:00Z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